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BFD" w:rsidRPr="0033707D" w:rsidRDefault="00E82BFD" w:rsidP="00507F21">
      <w:pPr>
        <w:widowControl/>
        <w:spacing w:line="264" w:lineRule="auto"/>
        <w:jc w:val="center"/>
        <w:rPr>
          <w:rFonts w:ascii="楷体_GB2312" w:eastAsia="楷体_GB2312" w:hAnsiTheme="minorEastAsia" w:cs="宋体"/>
          <w:b/>
          <w:bCs/>
          <w:kern w:val="0"/>
          <w:sz w:val="36"/>
          <w:szCs w:val="36"/>
          <w:u w:color="97C8FF"/>
        </w:rPr>
      </w:pPr>
      <w:r w:rsidRPr="0033707D">
        <w:rPr>
          <w:rFonts w:ascii="楷体_GB2312" w:eastAsia="楷体_GB2312" w:hAnsiTheme="minorEastAsia" w:cs="宋体" w:hint="eastAsia"/>
          <w:b/>
          <w:bCs/>
          <w:kern w:val="0"/>
          <w:sz w:val="36"/>
          <w:szCs w:val="36"/>
          <w:u w:color="97C8FF"/>
        </w:rPr>
        <w:t>南京财经大学2015年公共管理（MPA）研究生课程跟读班招生</w:t>
      </w:r>
      <w:r w:rsidR="003D2876" w:rsidRPr="0033707D">
        <w:rPr>
          <w:rFonts w:ascii="楷体_GB2312" w:eastAsia="楷体_GB2312" w:hAnsiTheme="minorEastAsia" w:cs="宋体" w:hint="eastAsia"/>
          <w:b/>
          <w:bCs/>
          <w:kern w:val="0"/>
          <w:sz w:val="36"/>
          <w:szCs w:val="36"/>
          <w:u w:color="97C8FF"/>
        </w:rPr>
        <w:t>规定</w:t>
      </w:r>
    </w:p>
    <w:p w:rsidR="00E82BFD" w:rsidRPr="003A3AC7" w:rsidRDefault="00E82BFD" w:rsidP="00507F21">
      <w:pPr>
        <w:widowControl/>
        <w:spacing w:line="264" w:lineRule="auto"/>
        <w:jc w:val="left"/>
        <w:rPr>
          <w:rFonts w:ascii="楷体_GB2312" w:eastAsia="楷体_GB2312" w:hAnsiTheme="minorEastAsia" w:cs="宋体"/>
          <w:kern w:val="0"/>
          <w:sz w:val="24"/>
          <w:szCs w:val="24"/>
          <w:u w:color="97C8FF"/>
        </w:rPr>
      </w:pPr>
      <w:r w:rsidRPr="003A3AC7">
        <w:rPr>
          <w:rFonts w:asciiTheme="minorEastAsia" w:eastAsia="楷体_GB2312" w:hAnsiTheme="minorEastAsia" w:cs="宋体" w:hint="eastAsia"/>
          <w:kern w:val="0"/>
          <w:sz w:val="24"/>
          <w:szCs w:val="24"/>
          <w:u w:color="97C8FF"/>
        </w:rPr>
        <w:t> </w:t>
      </w:r>
      <w:r w:rsidRPr="003A3AC7">
        <w:rPr>
          <w:rFonts w:ascii="楷体_GB2312" w:eastAsia="楷体_GB2312" w:hAnsiTheme="minorEastAsia" w:cs="宋体" w:hint="eastAsia"/>
          <w:kern w:val="0"/>
          <w:sz w:val="24"/>
          <w:szCs w:val="24"/>
          <w:u w:color="97C8FF"/>
        </w:rPr>
        <w:t xml:space="preserve"> </w:t>
      </w:r>
    </w:p>
    <w:p w:rsidR="00E82BFD" w:rsidRPr="0033707D" w:rsidRDefault="00E82BFD" w:rsidP="00507F21">
      <w:pPr>
        <w:pStyle w:val="a3"/>
        <w:shd w:val="clear" w:color="auto" w:fill="FFFFFF"/>
        <w:spacing w:line="264" w:lineRule="auto"/>
        <w:ind w:firstLine="480"/>
        <w:rPr>
          <w:rFonts w:ascii="楷体_GB2312" w:eastAsia="楷体_GB2312" w:hAnsiTheme="minorEastAsia"/>
          <w:color w:val="000000"/>
          <w:sz w:val="28"/>
          <w:szCs w:val="28"/>
        </w:rPr>
      </w:pPr>
      <w:r w:rsidRPr="0033707D">
        <w:rPr>
          <w:rFonts w:ascii="楷体_GB2312" w:eastAsia="楷体_GB2312" w:hAnsiTheme="minorEastAsia" w:hint="eastAsia"/>
          <w:color w:val="000000"/>
          <w:sz w:val="28"/>
          <w:szCs w:val="28"/>
        </w:rPr>
        <w:t>公共管理硕士 (</w:t>
      </w:r>
      <w:r w:rsidRPr="0033707D">
        <w:rPr>
          <w:rFonts w:ascii="Times New Roman" w:eastAsia="楷体_GB2312" w:hAnsi="Times New Roman" w:cs="Times New Roman"/>
          <w:color w:val="000000"/>
          <w:sz w:val="28"/>
          <w:szCs w:val="28"/>
        </w:rPr>
        <w:t>Master of Public Administration</w:t>
      </w:r>
      <w:r w:rsidRPr="0033707D">
        <w:rPr>
          <w:rFonts w:ascii="Times New Roman" w:eastAsia="楷体_GB2312" w:hAnsi="Times New Roman" w:cs="Times New Roman"/>
          <w:color w:val="000000"/>
          <w:sz w:val="28"/>
          <w:szCs w:val="28"/>
        </w:rPr>
        <w:t>，</w:t>
      </w:r>
      <w:r w:rsidRPr="0033707D">
        <w:rPr>
          <w:rFonts w:ascii="Times New Roman" w:eastAsia="楷体_GB2312" w:hAnsi="Times New Roman" w:cs="Times New Roman"/>
          <w:color w:val="000000"/>
          <w:sz w:val="28"/>
          <w:szCs w:val="28"/>
        </w:rPr>
        <w:t>MPA</w:t>
      </w:r>
      <w:r w:rsidRPr="0033707D">
        <w:rPr>
          <w:rFonts w:ascii="楷体_GB2312" w:eastAsia="楷体_GB2312" w:hAnsiTheme="minorEastAsia" w:hint="eastAsia"/>
          <w:color w:val="000000"/>
          <w:sz w:val="28"/>
          <w:szCs w:val="28"/>
        </w:rPr>
        <w:t>)，是专为政府部门和非政府公共机构培养具有现代公共管理理论、公共经济理论和公共政策素养，掌握先进分析方法及技术，精通某一具体政策领域的专业化的高层次、复合型、应用型领导者、管理者和政策分析人才的专业学位。</w:t>
      </w:r>
      <w:r w:rsidRPr="0033707D">
        <w:rPr>
          <w:rFonts w:ascii="楷体_GB2312" w:eastAsia="楷体_GB2312" w:hAnsiTheme="minorEastAsia" w:hint="eastAsia"/>
          <w:sz w:val="28"/>
          <w:szCs w:val="28"/>
          <w:u w:color="97C8FF"/>
        </w:rPr>
        <w:t>南京</w:t>
      </w:r>
      <w:r w:rsidRPr="0033707D">
        <w:rPr>
          <w:rFonts w:ascii="楷体_GB2312" w:eastAsia="楷体_GB2312" w:hAnsiTheme="minorEastAsia" w:hint="eastAsia"/>
          <w:color w:val="000000"/>
          <w:sz w:val="28"/>
          <w:szCs w:val="28"/>
        </w:rPr>
        <w:t>南京财经大学是一所以经济管理类学科为主，经济学、管理学、法学、工</w:t>
      </w:r>
      <w:bookmarkStart w:id="0" w:name="_GoBack"/>
      <w:bookmarkEnd w:id="0"/>
      <w:r w:rsidRPr="0033707D">
        <w:rPr>
          <w:rFonts w:ascii="楷体_GB2312" w:eastAsia="楷体_GB2312" w:hAnsiTheme="minorEastAsia" w:hint="eastAsia"/>
          <w:color w:val="000000"/>
          <w:sz w:val="28"/>
          <w:szCs w:val="28"/>
        </w:rPr>
        <w:t>学、文学、理学、艺术学等多学科支撑配套、协调发展的江苏省属重点大学。现有公共管理等18个教学学院（部），服务国家特殊需求博士人才培养项目1个，硕士学位授权一级学科12个，硕士学位授权二级学科58个，包括MPA、MBA等在内的专业硕士学位授权点8个。依托我校经济管理的学科优势，我校已初步形成了行政管理、社会保障、公共经济、公共事业管理以及城市管理等各二级学科协调发展的公共管理学科体系。学校着力于培养理论与实务并重，个性特征和团队意识共存，富有实干精神和现代管理经验的现代公共管理人才。我校2015年公共管理（双证、秋季入学）专业学位招收课程跟读班学员，现将招生的有关事项说明如下：</w:t>
      </w:r>
    </w:p>
    <w:p w:rsidR="00507F21" w:rsidRPr="0033707D" w:rsidRDefault="00E82BFD" w:rsidP="00507F21">
      <w:pPr>
        <w:pStyle w:val="a5"/>
        <w:widowControl/>
        <w:numPr>
          <w:ilvl w:val="0"/>
          <w:numId w:val="1"/>
        </w:numPr>
        <w:spacing w:before="100" w:beforeAutospacing="1" w:after="100" w:afterAutospacing="1" w:line="264" w:lineRule="auto"/>
        <w:ind w:firstLineChars="0"/>
        <w:jc w:val="left"/>
        <w:rPr>
          <w:rFonts w:ascii="楷体_GB2312" w:eastAsia="楷体_GB2312" w:hAnsiTheme="minorEastAsia" w:cs="宋体"/>
          <w:kern w:val="0"/>
          <w:sz w:val="28"/>
          <w:szCs w:val="28"/>
          <w:u w:color="97C8FF"/>
        </w:rPr>
      </w:pPr>
      <w:r w:rsidRPr="0033707D">
        <w:rPr>
          <w:rFonts w:ascii="楷体_GB2312" w:eastAsia="楷体_GB2312" w:hAnsiTheme="minorEastAsia" w:cs="宋体" w:hint="eastAsia"/>
          <w:kern w:val="0"/>
          <w:sz w:val="28"/>
          <w:szCs w:val="28"/>
          <w:u w:color="97C8FF"/>
        </w:rPr>
        <w:t>招生对象</w:t>
      </w:r>
    </w:p>
    <w:p w:rsidR="00507F21" w:rsidRPr="0033707D" w:rsidRDefault="00E82BFD" w:rsidP="003A3AC7">
      <w:pPr>
        <w:widowControl/>
        <w:spacing w:before="100" w:beforeAutospacing="1" w:after="100" w:afterAutospacing="1" w:line="264" w:lineRule="auto"/>
        <w:ind w:firstLineChars="200" w:firstLine="560"/>
        <w:jc w:val="left"/>
        <w:rPr>
          <w:rFonts w:ascii="楷体_GB2312" w:eastAsia="楷体_GB2312" w:hAnsiTheme="minorEastAsia" w:cs="宋体"/>
          <w:kern w:val="0"/>
          <w:sz w:val="28"/>
          <w:szCs w:val="28"/>
          <w:u w:color="97C8FF"/>
        </w:rPr>
      </w:pPr>
      <w:r w:rsidRPr="0033707D">
        <w:rPr>
          <w:rFonts w:ascii="楷体_GB2312" w:eastAsia="楷体_GB2312" w:hAnsiTheme="minorEastAsia" w:cs="宋体" w:hint="eastAsia"/>
          <w:kern w:val="0"/>
          <w:sz w:val="28"/>
          <w:szCs w:val="28"/>
          <w:u w:color="97C8FF"/>
        </w:rPr>
        <w:t xml:space="preserve"> 国民教育序列大学本科毕业（包括：全日制大学、自考、成人、电大、夜大、函授等）3年以上（含3</w:t>
      </w:r>
      <w:r w:rsidR="003D2876" w:rsidRPr="0033707D">
        <w:rPr>
          <w:rFonts w:ascii="楷体_GB2312" w:eastAsia="楷体_GB2312" w:hAnsiTheme="minorEastAsia" w:cs="宋体" w:hint="eastAsia"/>
          <w:kern w:val="0"/>
          <w:sz w:val="28"/>
          <w:szCs w:val="28"/>
          <w:u w:color="97C8FF"/>
        </w:rPr>
        <w:t>年）的在职工作人员</w:t>
      </w:r>
      <w:r w:rsidRPr="0033707D">
        <w:rPr>
          <w:rFonts w:ascii="楷体_GB2312" w:eastAsia="楷体_GB2312" w:hAnsiTheme="minorEastAsia" w:cs="宋体" w:hint="eastAsia"/>
          <w:kern w:val="0"/>
          <w:sz w:val="28"/>
          <w:szCs w:val="28"/>
          <w:u w:color="97C8FF"/>
        </w:rPr>
        <w:t>。重点招</w:t>
      </w:r>
      <w:r w:rsidRPr="0033707D">
        <w:rPr>
          <w:rFonts w:ascii="楷体_GB2312" w:eastAsia="楷体_GB2312" w:hAnsiTheme="minorEastAsia" w:cs="宋体" w:hint="eastAsia"/>
          <w:kern w:val="0"/>
          <w:sz w:val="28"/>
          <w:szCs w:val="28"/>
          <w:u w:color="97C8FF"/>
        </w:rPr>
        <w:lastRenderedPageBreak/>
        <w:t>收政府部门和非政府部门公共管理机构人员，课程跟读生资格审查合格后免试入学。</w:t>
      </w:r>
    </w:p>
    <w:p w:rsidR="00E82BFD" w:rsidRPr="0033707D" w:rsidRDefault="00E82BFD" w:rsidP="003A3AC7">
      <w:pPr>
        <w:widowControl/>
        <w:spacing w:before="100" w:beforeAutospacing="1" w:after="100" w:afterAutospacing="1" w:line="264" w:lineRule="auto"/>
        <w:ind w:firstLineChars="200" w:firstLine="560"/>
        <w:jc w:val="left"/>
        <w:rPr>
          <w:rFonts w:ascii="楷体_GB2312" w:eastAsia="楷体_GB2312" w:hAnsiTheme="minorEastAsia" w:cs="宋体"/>
          <w:kern w:val="0"/>
          <w:sz w:val="28"/>
          <w:szCs w:val="28"/>
          <w:u w:color="97C8FF"/>
        </w:rPr>
      </w:pPr>
      <w:r w:rsidRPr="0033707D">
        <w:rPr>
          <w:rFonts w:ascii="楷体_GB2312" w:eastAsia="楷体_GB2312" w:hAnsiTheme="minorEastAsia" w:cs="宋体" w:hint="eastAsia"/>
          <w:kern w:val="0"/>
          <w:sz w:val="28"/>
          <w:szCs w:val="28"/>
          <w:u w:color="97C8FF"/>
        </w:rPr>
        <w:t>二、报名办法</w:t>
      </w:r>
    </w:p>
    <w:p w:rsidR="00E82BFD" w:rsidRPr="0033707D" w:rsidRDefault="00E82BFD" w:rsidP="003A3AC7">
      <w:pPr>
        <w:widowControl/>
        <w:spacing w:before="100" w:beforeAutospacing="1" w:after="100" w:afterAutospacing="1" w:line="264" w:lineRule="auto"/>
        <w:ind w:firstLineChars="200" w:firstLine="560"/>
        <w:jc w:val="left"/>
        <w:rPr>
          <w:rFonts w:ascii="楷体_GB2312" w:eastAsia="楷体_GB2312" w:hAnsiTheme="minorEastAsia" w:cs="宋体"/>
          <w:kern w:val="0"/>
          <w:sz w:val="28"/>
          <w:szCs w:val="28"/>
          <w:u w:color="97C8FF"/>
        </w:rPr>
      </w:pPr>
      <w:r w:rsidRPr="0033707D">
        <w:rPr>
          <w:rFonts w:ascii="楷体_GB2312" w:eastAsia="楷体_GB2312" w:hAnsiTheme="minorEastAsia" w:cs="宋体" w:hint="eastAsia"/>
          <w:kern w:val="0"/>
          <w:sz w:val="28"/>
          <w:szCs w:val="28"/>
          <w:u w:color="97C8FF"/>
        </w:rPr>
        <w:t>1．持近期一寸免冠照片及毕业证复印件到南京财经大学学MPA教育中心办公室填写《南京财经大学在职MPA硕士跟读申请表》。</w:t>
      </w:r>
    </w:p>
    <w:p w:rsidR="00E82BFD" w:rsidRPr="0033707D" w:rsidRDefault="00E82BFD" w:rsidP="003A3AC7">
      <w:pPr>
        <w:widowControl/>
        <w:spacing w:before="100" w:beforeAutospacing="1" w:after="100" w:afterAutospacing="1" w:line="264" w:lineRule="auto"/>
        <w:ind w:firstLineChars="200" w:firstLine="560"/>
        <w:jc w:val="left"/>
        <w:rPr>
          <w:rFonts w:ascii="楷体_GB2312" w:eastAsia="楷体_GB2312" w:hAnsiTheme="minorEastAsia" w:cs="宋体"/>
          <w:kern w:val="0"/>
          <w:sz w:val="28"/>
          <w:szCs w:val="28"/>
          <w:u w:color="97C8FF"/>
        </w:rPr>
      </w:pPr>
      <w:r w:rsidRPr="0033707D">
        <w:rPr>
          <w:rFonts w:ascii="楷体_GB2312" w:eastAsia="楷体_GB2312" w:hAnsiTheme="minorEastAsia" w:cs="宋体" w:hint="eastAsia"/>
          <w:kern w:val="0"/>
          <w:sz w:val="28"/>
          <w:szCs w:val="28"/>
          <w:u w:color="97C8FF"/>
        </w:rPr>
        <w:t xml:space="preserve"> 2．由南京财经大学MPA教育中心上报研究生处培养办登记备案。</w:t>
      </w:r>
    </w:p>
    <w:p w:rsidR="00507F21" w:rsidRPr="0033707D" w:rsidRDefault="00E82BFD" w:rsidP="003A3AC7">
      <w:pPr>
        <w:widowControl/>
        <w:spacing w:before="100" w:beforeAutospacing="1" w:after="100" w:afterAutospacing="1" w:line="264" w:lineRule="auto"/>
        <w:ind w:firstLineChars="200" w:firstLine="560"/>
        <w:jc w:val="left"/>
        <w:rPr>
          <w:rFonts w:ascii="楷体_GB2312" w:eastAsia="楷体_GB2312" w:hAnsiTheme="minorEastAsia" w:cs="宋体"/>
          <w:kern w:val="0"/>
          <w:sz w:val="28"/>
          <w:szCs w:val="28"/>
          <w:u w:color="97C8FF"/>
        </w:rPr>
      </w:pPr>
      <w:r w:rsidRPr="0033707D">
        <w:rPr>
          <w:rFonts w:ascii="楷体_GB2312" w:eastAsia="楷体_GB2312" w:hAnsiTheme="minorEastAsia" w:cs="宋体" w:hint="eastAsia"/>
          <w:kern w:val="0"/>
          <w:sz w:val="28"/>
          <w:szCs w:val="28"/>
          <w:u w:color="97C8FF"/>
        </w:rPr>
        <w:t xml:space="preserve">  三、跟读专业和学习方式</w:t>
      </w:r>
      <w:r w:rsidRPr="0033707D">
        <w:rPr>
          <w:rFonts w:ascii="楷体_GB2312" w:eastAsia="楷体_GB2312" w:hAnsiTheme="minorEastAsia" w:cs="宋体" w:hint="eastAsia"/>
          <w:kern w:val="0"/>
          <w:sz w:val="28"/>
          <w:szCs w:val="28"/>
          <w:u w:color="97C8FF"/>
        </w:rPr>
        <w:br/>
      </w:r>
      <w:r w:rsidRPr="0033707D">
        <w:rPr>
          <w:rFonts w:asciiTheme="minorEastAsia" w:eastAsia="楷体_GB2312" w:hAnsiTheme="minorEastAsia" w:cs="宋体" w:hint="eastAsia"/>
          <w:kern w:val="0"/>
          <w:sz w:val="28"/>
          <w:szCs w:val="28"/>
          <w:u w:color="97C8FF"/>
        </w:rPr>
        <w:t>   </w:t>
      </w:r>
      <w:r w:rsidR="003A3AC7" w:rsidRPr="0033707D">
        <w:rPr>
          <w:rFonts w:asciiTheme="minorEastAsia" w:eastAsia="楷体_GB2312" w:hAnsiTheme="minorEastAsia" w:cs="宋体" w:hint="eastAsia"/>
          <w:kern w:val="0"/>
          <w:sz w:val="28"/>
          <w:szCs w:val="28"/>
          <w:u w:color="97C8FF"/>
        </w:rPr>
        <w:t xml:space="preserve">   </w:t>
      </w:r>
      <w:r w:rsidRPr="0033707D">
        <w:rPr>
          <w:rFonts w:ascii="楷体_GB2312" w:eastAsia="楷体_GB2312" w:hAnsiTheme="minorEastAsia" w:cs="宋体" w:hint="eastAsia"/>
          <w:kern w:val="0"/>
          <w:sz w:val="28"/>
          <w:szCs w:val="28"/>
          <w:u w:color="97C8FF"/>
        </w:rPr>
        <w:t>1．专业：公共管理（MPA）专业。</w:t>
      </w:r>
    </w:p>
    <w:p w:rsidR="00E82BFD" w:rsidRPr="0033707D" w:rsidRDefault="00E82BFD" w:rsidP="003A3AC7">
      <w:pPr>
        <w:widowControl/>
        <w:spacing w:before="100" w:beforeAutospacing="1" w:after="100" w:afterAutospacing="1" w:line="264" w:lineRule="auto"/>
        <w:ind w:firstLineChars="250" w:firstLine="700"/>
        <w:jc w:val="left"/>
        <w:rPr>
          <w:rFonts w:ascii="楷体_GB2312" w:eastAsia="楷体_GB2312" w:hAnsiTheme="minorEastAsia" w:cs="宋体"/>
          <w:kern w:val="0"/>
          <w:sz w:val="28"/>
          <w:szCs w:val="28"/>
          <w:u w:color="97C8FF"/>
        </w:rPr>
      </w:pPr>
      <w:r w:rsidRPr="0033707D">
        <w:rPr>
          <w:rFonts w:ascii="楷体_GB2312" w:eastAsia="楷体_GB2312" w:hAnsiTheme="minorEastAsia" w:cs="宋体" w:hint="eastAsia"/>
          <w:kern w:val="0"/>
          <w:sz w:val="28"/>
          <w:szCs w:val="28"/>
          <w:u w:color="97C8FF"/>
        </w:rPr>
        <w:t xml:space="preserve"> 2．学习方式：采取半脱产及业余（在职）学习方式，具体上课时间以课程表为准。</w:t>
      </w:r>
    </w:p>
    <w:p w:rsidR="00507F21" w:rsidRPr="0033707D" w:rsidRDefault="00E82BFD" w:rsidP="003A3AC7">
      <w:pPr>
        <w:widowControl/>
        <w:spacing w:before="100" w:beforeAutospacing="1" w:after="100" w:afterAutospacing="1" w:line="264" w:lineRule="auto"/>
        <w:ind w:firstLineChars="200" w:firstLine="560"/>
        <w:jc w:val="left"/>
        <w:rPr>
          <w:rFonts w:ascii="楷体_GB2312" w:eastAsia="楷体_GB2312" w:hAnsiTheme="minorEastAsia" w:cs="宋体"/>
          <w:kern w:val="0"/>
          <w:sz w:val="28"/>
          <w:szCs w:val="28"/>
          <w:u w:color="97C8FF"/>
        </w:rPr>
      </w:pPr>
      <w:r w:rsidRPr="0033707D">
        <w:rPr>
          <w:rFonts w:asciiTheme="minorEastAsia" w:eastAsia="楷体_GB2312" w:hAnsiTheme="minorEastAsia" w:cs="宋体" w:hint="eastAsia"/>
          <w:kern w:val="0"/>
          <w:sz w:val="28"/>
          <w:szCs w:val="28"/>
          <w:u w:color="97C8FF"/>
        </w:rPr>
        <w:t> </w:t>
      </w:r>
      <w:r w:rsidR="003D2876" w:rsidRPr="0033707D">
        <w:rPr>
          <w:rFonts w:ascii="楷体_GB2312" w:eastAsia="楷体_GB2312" w:hAnsiTheme="minorEastAsia" w:cs="宋体" w:hint="eastAsia"/>
          <w:kern w:val="0"/>
          <w:sz w:val="28"/>
          <w:szCs w:val="28"/>
          <w:u w:color="97C8FF"/>
        </w:rPr>
        <w:t>3</w:t>
      </w:r>
      <w:r w:rsidRPr="0033707D">
        <w:rPr>
          <w:rFonts w:ascii="楷体_GB2312" w:eastAsia="楷体_GB2312" w:hAnsiTheme="minorEastAsia" w:cs="宋体" w:hint="eastAsia"/>
          <w:kern w:val="0"/>
          <w:sz w:val="28"/>
          <w:szCs w:val="28"/>
          <w:u w:color="97C8FF"/>
        </w:rPr>
        <w:t>．学制：学习时间一般为2</w:t>
      </w:r>
      <w:r w:rsidR="003A3AC7" w:rsidRPr="0033707D">
        <w:rPr>
          <w:rFonts w:ascii="楷体_GB2312" w:eastAsia="楷体_GB2312" w:hAnsiTheme="minorEastAsia" w:cs="宋体" w:hint="eastAsia"/>
          <w:kern w:val="0"/>
          <w:sz w:val="28"/>
          <w:szCs w:val="28"/>
          <w:u w:color="97C8FF"/>
        </w:rPr>
        <w:t>.5</w:t>
      </w:r>
      <w:r w:rsidRPr="0033707D">
        <w:rPr>
          <w:rFonts w:ascii="楷体_GB2312" w:eastAsia="楷体_GB2312" w:hAnsiTheme="minorEastAsia" w:cs="宋体" w:hint="eastAsia"/>
          <w:kern w:val="0"/>
          <w:sz w:val="28"/>
          <w:szCs w:val="28"/>
          <w:u w:color="97C8FF"/>
        </w:rPr>
        <w:t>-</w:t>
      </w:r>
      <w:r w:rsidR="003A3AC7" w:rsidRPr="0033707D">
        <w:rPr>
          <w:rFonts w:ascii="楷体_GB2312" w:eastAsia="楷体_GB2312" w:hAnsiTheme="minorEastAsia" w:cs="宋体" w:hint="eastAsia"/>
          <w:kern w:val="0"/>
          <w:sz w:val="28"/>
          <w:szCs w:val="28"/>
          <w:u w:color="97C8FF"/>
        </w:rPr>
        <w:t>3</w:t>
      </w:r>
      <w:r w:rsidRPr="0033707D">
        <w:rPr>
          <w:rFonts w:ascii="楷体_GB2312" w:eastAsia="楷体_GB2312" w:hAnsiTheme="minorEastAsia" w:cs="宋体" w:hint="eastAsia"/>
          <w:kern w:val="0"/>
          <w:sz w:val="28"/>
          <w:szCs w:val="28"/>
          <w:u w:color="97C8FF"/>
        </w:rPr>
        <w:t>年。</w:t>
      </w:r>
    </w:p>
    <w:p w:rsidR="00E82BFD" w:rsidRPr="0033707D" w:rsidRDefault="00E82BFD" w:rsidP="003A3AC7">
      <w:pPr>
        <w:widowControl/>
        <w:spacing w:before="100" w:beforeAutospacing="1" w:after="100" w:afterAutospacing="1" w:line="264" w:lineRule="auto"/>
        <w:ind w:firstLineChars="200" w:firstLine="560"/>
        <w:jc w:val="left"/>
        <w:rPr>
          <w:rFonts w:ascii="楷体_GB2312" w:eastAsia="楷体_GB2312" w:hAnsiTheme="minorEastAsia" w:cs="宋体"/>
          <w:kern w:val="0"/>
          <w:sz w:val="28"/>
          <w:szCs w:val="28"/>
          <w:u w:color="97C8FF"/>
        </w:rPr>
      </w:pPr>
      <w:r w:rsidRPr="0033707D">
        <w:rPr>
          <w:rFonts w:ascii="楷体_GB2312" w:eastAsia="楷体_GB2312" w:hAnsiTheme="minorEastAsia" w:cs="宋体" w:hint="eastAsia"/>
          <w:kern w:val="0"/>
          <w:sz w:val="28"/>
          <w:szCs w:val="28"/>
          <w:u w:color="97C8FF"/>
        </w:rPr>
        <w:t>四、申请学位</w:t>
      </w:r>
    </w:p>
    <w:p w:rsidR="00507F21" w:rsidRPr="0033707D" w:rsidRDefault="00E82BFD" w:rsidP="003A3AC7">
      <w:pPr>
        <w:widowControl/>
        <w:spacing w:before="100" w:beforeAutospacing="1" w:after="100" w:afterAutospacing="1" w:line="264" w:lineRule="auto"/>
        <w:ind w:firstLineChars="200" w:firstLine="560"/>
        <w:jc w:val="left"/>
        <w:rPr>
          <w:rFonts w:ascii="楷体_GB2312" w:eastAsia="楷体_GB2312" w:hAnsiTheme="minorEastAsia" w:cs="宋体"/>
          <w:color w:val="000000"/>
          <w:kern w:val="0"/>
          <w:sz w:val="28"/>
          <w:szCs w:val="28"/>
          <w:u w:color="97C8FF"/>
        </w:rPr>
      </w:pPr>
      <w:r w:rsidRPr="0033707D">
        <w:rPr>
          <w:rFonts w:ascii="楷体_GB2312" w:eastAsia="楷体_GB2312" w:hAnsiTheme="minorEastAsia" w:cs="宋体" w:hint="eastAsia"/>
          <w:kern w:val="0"/>
          <w:sz w:val="28"/>
          <w:szCs w:val="28"/>
          <w:u w:color="97C8FF"/>
        </w:rPr>
        <w:t xml:space="preserve"> </w:t>
      </w:r>
      <w:r w:rsidR="00202D11" w:rsidRPr="0033707D">
        <w:rPr>
          <w:rFonts w:ascii="楷体_GB2312" w:eastAsia="楷体_GB2312" w:hAnsiTheme="minorEastAsia" w:cs="宋体" w:hint="eastAsia"/>
          <w:kern w:val="0"/>
          <w:sz w:val="28"/>
          <w:szCs w:val="28"/>
          <w:u w:color="97C8FF"/>
        </w:rPr>
        <w:t>通过国家联考获得录取资格后，跟读期间课程可以申请免修</w:t>
      </w:r>
      <w:r w:rsidRPr="0033707D">
        <w:rPr>
          <w:rFonts w:ascii="楷体_GB2312" w:eastAsia="楷体_GB2312" w:hAnsiTheme="minorEastAsia" w:cs="宋体" w:hint="eastAsia"/>
          <w:kern w:val="0"/>
          <w:sz w:val="28"/>
          <w:szCs w:val="28"/>
          <w:u w:color="97C8FF"/>
        </w:rPr>
        <w:t>，但应按教育部规定的学习年限（从录取后注册报到之日算起）毕业或获得学位。正式入学后，累计修完培养计划规定的全部课程和学分，可进入学位论文研究与撰写工作阶段。完成学位论文并通过答辩后，经我校研究生处学位委员会审查通过，可获得</w:t>
      </w:r>
      <w:r w:rsidRPr="0033707D">
        <w:rPr>
          <w:rFonts w:ascii="楷体_GB2312" w:eastAsia="楷体_GB2312" w:hAnsiTheme="minorEastAsia" w:cs="宋体" w:hint="eastAsia"/>
          <w:color w:val="000000"/>
          <w:kern w:val="0"/>
          <w:sz w:val="28"/>
          <w:szCs w:val="28"/>
          <w:u w:color="97C8FF"/>
        </w:rPr>
        <w:t>国务院学位办统一制作由南京财经大学颁发的公共管理硕（MPA）学位证书。</w:t>
      </w:r>
    </w:p>
    <w:p w:rsidR="00E82BFD" w:rsidRPr="0033707D" w:rsidRDefault="003A3AC7" w:rsidP="003A3AC7">
      <w:pPr>
        <w:widowControl/>
        <w:spacing w:before="100" w:beforeAutospacing="1" w:after="100" w:afterAutospacing="1" w:line="264" w:lineRule="auto"/>
        <w:ind w:firstLineChars="200" w:firstLine="560"/>
        <w:jc w:val="left"/>
        <w:rPr>
          <w:rFonts w:ascii="楷体_GB2312" w:eastAsia="楷体_GB2312" w:hAnsiTheme="minorEastAsia" w:cs="宋体"/>
          <w:kern w:val="0"/>
          <w:sz w:val="28"/>
          <w:szCs w:val="28"/>
          <w:u w:color="97C8FF"/>
        </w:rPr>
      </w:pPr>
      <w:r w:rsidRPr="0033707D">
        <w:rPr>
          <w:rFonts w:ascii="楷体_GB2312" w:eastAsia="楷体_GB2312" w:hAnsiTheme="minorEastAsia" w:cs="宋体" w:hint="eastAsia"/>
          <w:color w:val="000000"/>
          <w:kern w:val="0"/>
          <w:sz w:val="28"/>
          <w:szCs w:val="28"/>
          <w:u w:color="97C8FF"/>
        </w:rPr>
        <w:lastRenderedPageBreak/>
        <w:t>跟读生在</w:t>
      </w:r>
      <w:r w:rsidR="00C3572A" w:rsidRPr="0033707D">
        <w:rPr>
          <w:rFonts w:ascii="楷体_GB2312" w:eastAsia="楷体_GB2312" w:hAnsiTheme="minorEastAsia" w:cs="宋体" w:hint="eastAsia"/>
          <w:color w:val="000000"/>
          <w:kern w:val="0"/>
          <w:sz w:val="28"/>
          <w:szCs w:val="28"/>
          <w:u w:color="97C8FF"/>
        </w:rPr>
        <w:t>跟读期间取得的学习成绩有效期为3年，从办理入学手续日计算。在</w:t>
      </w:r>
      <w:r w:rsidR="00E82BFD" w:rsidRPr="0033707D">
        <w:rPr>
          <w:rFonts w:ascii="楷体_GB2312" w:eastAsia="楷体_GB2312" w:hAnsiTheme="minorEastAsia" w:cs="宋体" w:hint="eastAsia"/>
          <w:color w:val="000000"/>
          <w:kern w:val="0"/>
          <w:sz w:val="28"/>
          <w:szCs w:val="28"/>
          <w:u w:color="97C8FF"/>
        </w:rPr>
        <w:t>规定</w:t>
      </w:r>
      <w:r w:rsidR="00C3572A" w:rsidRPr="0033707D">
        <w:rPr>
          <w:rFonts w:ascii="楷体_GB2312" w:eastAsia="楷体_GB2312" w:hAnsiTheme="minorEastAsia" w:cs="宋体" w:hint="eastAsia"/>
          <w:color w:val="000000"/>
          <w:kern w:val="0"/>
          <w:sz w:val="28"/>
          <w:szCs w:val="28"/>
          <w:u w:color="97C8FF"/>
        </w:rPr>
        <w:t>3年</w:t>
      </w:r>
      <w:r w:rsidR="00E82BFD" w:rsidRPr="0033707D">
        <w:rPr>
          <w:rFonts w:ascii="楷体_GB2312" w:eastAsia="楷体_GB2312" w:hAnsiTheme="minorEastAsia" w:cs="宋体" w:hint="eastAsia"/>
          <w:color w:val="000000"/>
          <w:kern w:val="0"/>
          <w:sz w:val="28"/>
          <w:szCs w:val="28"/>
          <w:u w:color="97C8FF"/>
        </w:rPr>
        <w:t>时间内，未通过全国统一联考且修满培养计划规定学分的学员，可获得</w:t>
      </w:r>
      <w:r w:rsidR="00507F21" w:rsidRPr="0033707D">
        <w:rPr>
          <w:rFonts w:ascii="楷体_GB2312" w:eastAsia="楷体_GB2312" w:hAnsiTheme="minorEastAsia" w:cs="宋体" w:hint="eastAsia"/>
          <w:color w:val="000000"/>
          <w:kern w:val="0"/>
          <w:sz w:val="28"/>
          <w:szCs w:val="28"/>
          <w:u w:color="97C8FF"/>
        </w:rPr>
        <w:t>南京财经大学</w:t>
      </w:r>
      <w:r w:rsidR="00E82BFD" w:rsidRPr="0033707D">
        <w:rPr>
          <w:rFonts w:ascii="楷体_GB2312" w:eastAsia="楷体_GB2312" w:hAnsiTheme="minorEastAsia" w:cs="宋体" w:hint="eastAsia"/>
          <w:color w:val="000000"/>
          <w:kern w:val="0"/>
          <w:sz w:val="28"/>
          <w:szCs w:val="28"/>
          <w:u w:color="97C8FF"/>
        </w:rPr>
        <w:t>颁发的公共管理专业《研究生课程进修结业书》。</w:t>
      </w:r>
    </w:p>
    <w:p w:rsidR="006920D7" w:rsidRPr="0033707D" w:rsidRDefault="003D2876" w:rsidP="003A3AC7">
      <w:pPr>
        <w:widowControl/>
        <w:spacing w:before="100" w:beforeAutospacing="1" w:after="100" w:afterAutospacing="1" w:line="264" w:lineRule="auto"/>
        <w:ind w:firstLineChars="200" w:firstLine="560"/>
        <w:jc w:val="left"/>
        <w:rPr>
          <w:rFonts w:ascii="楷体_GB2312" w:eastAsia="楷体_GB2312" w:hAnsiTheme="minorEastAsia" w:cs="宋体"/>
          <w:kern w:val="0"/>
          <w:sz w:val="28"/>
          <w:szCs w:val="28"/>
          <w:u w:color="97C8FF"/>
        </w:rPr>
      </w:pPr>
      <w:r w:rsidRPr="0033707D">
        <w:rPr>
          <w:rFonts w:ascii="宋体" w:eastAsia="宋体" w:hAnsi="宋体" w:cs="宋体" w:hint="eastAsia"/>
          <w:kern w:val="0"/>
          <w:sz w:val="28"/>
          <w:szCs w:val="28"/>
          <w:u w:color="97C8FF"/>
        </w:rPr>
        <w:t>五</w:t>
      </w:r>
      <w:r w:rsidR="006920D7" w:rsidRPr="0033707D">
        <w:rPr>
          <w:rFonts w:ascii="楷体_GB2312" w:eastAsia="楷体_GB2312" w:hAnsiTheme="minorEastAsia" w:cs="宋体" w:hint="eastAsia"/>
          <w:kern w:val="0"/>
          <w:sz w:val="28"/>
          <w:szCs w:val="28"/>
          <w:u w:color="97C8FF"/>
        </w:rPr>
        <w:t>、学费</w:t>
      </w:r>
    </w:p>
    <w:p w:rsidR="006920D7" w:rsidRPr="0033707D" w:rsidRDefault="006920D7" w:rsidP="003A3AC7">
      <w:pPr>
        <w:widowControl/>
        <w:spacing w:before="100" w:beforeAutospacing="1" w:after="100" w:afterAutospacing="1" w:line="264" w:lineRule="auto"/>
        <w:ind w:firstLineChars="200" w:firstLine="560"/>
        <w:jc w:val="left"/>
        <w:rPr>
          <w:rFonts w:ascii="楷体_GB2312" w:eastAsia="楷体_GB2312" w:hAnsiTheme="minorEastAsia" w:cs="宋体"/>
          <w:kern w:val="0"/>
          <w:sz w:val="28"/>
          <w:szCs w:val="28"/>
          <w:u w:color="97C8FF"/>
        </w:rPr>
      </w:pPr>
      <w:r w:rsidRPr="0033707D">
        <w:rPr>
          <w:rFonts w:ascii="楷体_GB2312" w:eastAsia="楷体_GB2312" w:hAnsiTheme="minorEastAsia" w:cs="宋体" w:hint="eastAsia"/>
          <w:kern w:val="0"/>
          <w:sz w:val="28"/>
          <w:szCs w:val="28"/>
          <w:u w:color="97C8FF"/>
        </w:rPr>
        <w:t>在没有取得国家研究生入学资格前，收取学费8</w:t>
      </w:r>
      <w:r w:rsidR="003D2876" w:rsidRPr="0033707D">
        <w:rPr>
          <w:rFonts w:ascii="楷体_GB2312" w:eastAsia="楷体_GB2312" w:hAnsiTheme="minorEastAsia" w:cs="宋体" w:hint="eastAsia"/>
          <w:kern w:val="0"/>
          <w:sz w:val="28"/>
          <w:szCs w:val="28"/>
          <w:u w:color="97C8FF"/>
        </w:rPr>
        <w:t>500</w:t>
      </w:r>
      <w:r w:rsidRPr="0033707D">
        <w:rPr>
          <w:rFonts w:ascii="楷体_GB2312" w:eastAsia="楷体_GB2312" w:hAnsiTheme="minorEastAsia" w:cs="宋体" w:hint="eastAsia"/>
          <w:kern w:val="0"/>
          <w:sz w:val="28"/>
          <w:szCs w:val="28"/>
          <w:u w:color="97C8FF"/>
        </w:rPr>
        <w:t>元（3年学费</w:t>
      </w:r>
      <w:r w:rsidR="00C24BF7" w:rsidRPr="0033707D">
        <w:rPr>
          <w:rFonts w:ascii="楷体_GB2312" w:eastAsia="楷体_GB2312" w:hAnsiTheme="minorEastAsia" w:cs="宋体" w:hint="eastAsia"/>
          <w:kern w:val="0"/>
          <w:sz w:val="28"/>
          <w:szCs w:val="28"/>
          <w:u w:color="97C8FF"/>
        </w:rPr>
        <w:t>，具体标准由学校批准确定</w:t>
      </w:r>
      <w:r w:rsidRPr="0033707D">
        <w:rPr>
          <w:rFonts w:ascii="楷体_GB2312" w:eastAsia="楷体_GB2312" w:hAnsiTheme="minorEastAsia" w:cs="宋体" w:hint="eastAsia"/>
          <w:kern w:val="0"/>
          <w:sz w:val="28"/>
          <w:szCs w:val="28"/>
          <w:u w:color="97C8FF"/>
        </w:rPr>
        <w:t>），取得国家研究生入学资格再补交考入年份我校规定的MPA</w:t>
      </w:r>
      <w:r w:rsidR="00C24BF7" w:rsidRPr="0033707D">
        <w:rPr>
          <w:rFonts w:ascii="楷体_GB2312" w:eastAsia="楷体_GB2312" w:hAnsiTheme="minorEastAsia" w:cs="宋体" w:hint="eastAsia"/>
          <w:kern w:val="0"/>
          <w:sz w:val="28"/>
          <w:szCs w:val="28"/>
          <w:u w:color="97C8FF"/>
        </w:rPr>
        <w:t>全部</w:t>
      </w:r>
      <w:r w:rsidRPr="0033707D">
        <w:rPr>
          <w:rFonts w:ascii="楷体_GB2312" w:eastAsia="楷体_GB2312" w:hAnsiTheme="minorEastAsia" w:cs="宋体" w:hint="eastAsia"/>
          <w:kern w:val="0"/>
          <w:sz w:val="28"/>
          <w:szCs w:val="28"/>
          <w:u w:color="97C8FF"/>
        </w:rPr>
        <w:t>学费余额。</w:t>
      </w:r>
    </w:p>
    <w:p w:rsidR="0033707D" w:rsidRPr="003A3AC7" w:rsidRDefault="00507F21" w:rsidP="0033707D">
      <w:pPr>
        <w:widowControl/>
        <w:spacing w:before="100" w:beforeAutospacing="1" w:after="100" w:afterAutospacing="1" w:line="264" w:lineRule="auto"/>
        <w:jc w:val="left"/>
        <w:rPr>
          <w:rFonts w:ascii="宋体" w:eastAsia="宋体" w:hAnsi="宋体"/>
          <w:sz w:val="24"/>
          <w:szCs w:val="24"/>
        </w:rPr>
      </w:pPr>
      <w:r w:rsidRPr="0033707D">
        <w:rPr>
          <w:rFonts w:asciiTheme="minorEastAsia" w:eastAsia="楷体_GB2312" w:hAnsiTheme="minorEastAsia" w:cs="宋体" w:hint="eastAsia"/>
          <w:kern w:val="0"/>
          <w:sz w:val="28"/>
          <w:szCs w:val="28"/>
          <w:u w:color="97C8FF"/>
        </w:rPr>
        <w:t>  </w:t>
      </w:r>
    </w:p>
    <w:sectPr w:rsidR="0033707D" w:rsidRPr="003A3AC7" w:rsidSect="009D29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380" w:rsidRDefault="00F86380" w:rsidP="0033707D">
      <w:r>
        <w:separator/>
      </w:r>
    </w:p>
  </w:endnote>
  <w:endnote w:type="continuationSeparator" w:id="0">
    <w:p w:rsidR="00F86380" w:rsidRDefault="00F86380" w:rsidP="0033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380" w:rsidRDefault="00F86380" w:rsidP="0033707D">
      <w:r>
        <w:separator/>
      </w:r>
    </w:p>
  </w:footnote>
  <w:footnote w:type="continuationSeparator" w:id="0">
    <w:p w:rsidR="00F86380" w:rsidRDefault="00F86380" w:rsidP="00337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83061"/>
    <w:multiLevelType w:val="hybridMultilevel"/>
    <w:tmpl w:val="38E05DAE"/>
    <w:lvl w:ilvl="0" w:tplc="82FC66C6">
      <w:start w:val="1"/>
      <w:numFmt w:val="japaneseCounting"/>
      <w:lvlText w:val="%1、"/>
      <w:lvlJc w:val="left"/>
      <w:pPr>
        <w:ind w:left="1185" w:hanging="48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BFD"/>
    <w:rsid w:val="00051E4F"/>
    <w:rsid w:val="001327BC"/>
    <w:rsid w:val="00202D11"/>
    <w:rsid w:val="0033707D"/>
    <w:rsid w:val="003A3AC7"/>
    <w:rsid w:val="003D2876"/>
    <w:rsid w:val="00507F21"/>
    <w:rsid w:val="006920D7"/>
    <w:rsid w:val="008E3AD2"/>
    <w:rsid w:val="00957D64"/>
    <w:rsid w:val="009D29A4"/>
    <w:rsid w:val="00A160F1"/>
    <w:rsid w:val="00AE4723"/>
    <w:rsid w:val="00C24BF7"/>
    <w:rsid w:val="00C3572A"/>
    <w:rsid w:val="00E824B0"/>
    <w:rsid w:val="00E82BFD"/>
    <w:rsid w:val="00E8551B"/>
    <w:rsid w:val="00F86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BD83464-ADF2-4B48-B018-4BBCB094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BF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E82BFD"/>
    <w:rPr>
      <w:color w:val="0000FF" w:themeColor="hyperlink"/>
      <w:u w:val="single"/>
    </w:rPr>
  </w:style>
  <w:style w:type="paragraph" w:styleId="a5">
    <w:name w:val="List Paragraph"/>
    <w:basedOn w:val="a"/>
    <w:uiPriority w:val="34"/>
    <w:qFormat/>
    <w:rsid w:val="00E82BFD"/>
    <w:pPr>
      <w:ind w:firstLineChars="200" w:firstLine="420"/>
    </w:pPr>
  </w:style>
  <w:style w:type="paragraph" w:styleId="a6">
    <w:name w:val="header"/>
    <w:basedOn w:val="a"/>
    <w:link w:val="Char"/>
    <w:uiPriority w:val="99"/>
    <w:unhideWhenUsed/>
    <w:rsid w:val="003370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3707D"/>
    <w:rPr>
      <w:sz w:val="18"/>
      <w:szCs w:val="18"/>
    </w:rPr>
  </w:style>
  <w:style w:type="paragraph" w:styleId="a7">
    <w:name w:val="footer"/>
    <w:basedOn w:val="a"/>
    <w:link w:val="Char0"/>
    <w:uiPriority w:val="99"/>
    <w:unhideWhenUsed/>
    <w:rsid w:val="0033707D"/>
    <w:pPr>
      <w:tabs>
        <w:tab w:val="center" w:pos="4153"/>
        <w:tab w:val="right" w:pos="8306"/>
      </w:tabs>
      <w:snapToGrid w:val="0"/>
      <w:jc w:val="left"/>
    </w:pPr>
    <w:rPr>
      <w:sz w:val="18"/>
      <w:szCs w:val="18"/>
    </w:rPr>
  </w:style>
  <w:style w:type="character" w:customStyle="1" w:styleId="Char0">
    <w:name w:val="页脚 Char"/>
    <w:basedOn w:val="a0"/>
    <w:link w:val="a7"/>
    <w:uiPriority w:val="99"/>
    <w:rsid w:val="003370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801837">
      <w:bodyDiv w:val="1"/>
      <w:marLeft w:val="0"/>
      <w:marRight w:val="0"/>
      <w:marTop w:val="0"/>
      <w:marBottom w:val="0"/>
      <w:divBdr>
        <w:top w:val="none" w:sz="0" w:space="0" w:color="auto"/>
        <w:left w:val="none" w:sz="0" w:space="0" w:color="auto"/>
        <w:bottom w:val="none" w:sz="0" w:space="0" w:color="auto"/>
        <w:right w:val="none" w:sz="0" w:space="0" w:color="auto"/>
      </w:divBdr>
      <w:divsChild>
        <w:div w:id="762150089">
          <w:marLeft w:val="0"/>
          <w:marRight w:val="0"/>
          <w:marTop w:val="0"/>
          <w:marBottom w:val="0"/>
          <w:divBdr>
            <w:top w:val="none" w:sz="0" w:space="0" w:color="auto"/>
            <w:left w:val="none" w:sz="0" w:space="0" w:color="auto"/>
            <w:bottom w:val="none" w:sz="0" w:space="0" w:color="auto"/>
            <w:right w:val="single" w:sz="6" w:space="0" w:color="A5A2A5"/>
          </w:divBdr>
          <w:divsChild>
            <w:div w:id="1983268213">
              <w:marLeft w:val="0"/>
              <w:marRight w:val="0"/>
              <w:marTop w:val="0"/>
              <w:marBottom w:val="0"/>
              <w:divBdr>
                <w:top w:val="none" w:sz="0" w:space="0" w:color="auto"/>
                <w:left w:val="none" w:sz="0" w:space="0" w:color="auto"/>
                <w:bottom w:val="none" w:sz="0" w:space="0" w:color="auto"/>
                <w:right w:val="none" w:sz="0" w:space="0" w:color="auto"/>
              </w:divBdr>
              <w:divsChild>
                <w:div w:id="984555108">
                  <w:marLeft w:val="0"/>
                  <w:marRight w:val="0"/>
                  <w:marTop w:val="0"/>
                  <w:marBottom w:val="0"/>
                  <w:divBdr>
                    <w:top w:val="none" w:sz="0" w:space="0" w:color="auto"/>
                    <w:left w:val="none" w:sz="0" w:space="0" w:color="auto"/>
                    <w:bottom w:val="none" w:sz="0" w:space="0" w:color="auto"/>
                    <w:right w:val="none" w:sz="0" w:space="0" w:color="auto"/>
                  </w:divBdr>
                  <w:divsChild>
                    <w:div w:id="1619098461">
                      <w:marLeft w:val="0"/>
                      <w:marRight w:val="0"/>
                      <w:marTop w:val="0"/>
                      <w:marBottom w:val="0"/>
                      <w:divBdr>
                        <w:top w:val="none" w:sz="0" w:space="0" w:color="auto"/>
                        <w:left w:val="none" w:sz="0" w:space="0" w:color="auto"/>
                        <w:bottom w:val="none" w:sz="0" w:space="0" w:color="auto"/>
                        <w:right w:val="none" w:sz="0" w:space="0" w:color="auto"/>
                      </w:divBdr>
                      <w:divsChild>
                        <w:div w:id="843856138">
                          <w:marLeft w:val="0"/>
                          <w:marRight w:val="0"/>
                          <w:marTop w:val="0"/>
                          <w:marBottom w:val="0"/>
                          <w:divBdr>
                            <w:top w:val="none" w:sz="0" w:space="0" w:color="auto"/>
                            <w:left w:val="none" w:sz="0" w:space="0" w:color="auto"/>
                            <w:bottom w:val="none" w:sz="0" w:space="0" w:color="auto"/>
                            <w:right w:val="none" w:sz="0" w:space="0" w:color="auto"/>
                          </w:divBdr>
                          <w:divsChild>
                            <w:div w:id="1919098567">
                              <w:marLeft w:val="0"/>
                              <w:marRight w:val="0"/>
                              <w:marTop w:val="0"/>
                              <w:marBottom w:val="0"/>
                              <w:divBdr>
                                <w:top w:val="none" w:sz="0" w:space="0" w:color="auto"/>
                                <w:left w:val="none" w:sz="0" w:space="0" w:color="auto"/>
                                <w:bottom w:val="dashed" w:sz="6" w:space="8" w:color="97C8FF"/>
                                <w:right w:val="none" w:sz="0" w:space="0" w:color="auto"/>
                              </w:divBdr>
                            </w:div>
                            <w:div w:id="13615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691659">
      <w:bodyDiv w:val="1"/>
      <w:marLeft w:val="0"/>
      <w:marRight w:val="0"/>
      <w:marTop w:val="0"/>
      <w:marBottom w:val="0"/>
      <w:divBdr>
        <w:top w:val="none" w:sz="0" w:space="0" w:color="auto"/>
        <w:left w:val="none" w:sz="0" w:space="0" w:color="auto"/>
        <w:bottom w:val="none" w:sz="0" w:space="0" w:color="auto"/>
        <w:right w:val="none" w:sz="0" w:space="0" w:color="auto"/>
      </w:divBdr>
      <w:divsChild>
        <w:div w:id="547646188">
          <w:marLeft w:val="0"/>
          <w:marRight w:val="0"/>
          <w:marTop w:val="0"/>
          <w:marBottom w:val="0"/>
          <w:divBdr>
            <w:top w:val="none" w:sz="0" w:space="0" w:color="auto"/>
            <w:left w:val="none" w:sz="0" w:space="0" w:color="auto"/>
            <w:bottom w:val="none" w:sz="0" w:space="0" w:color="auto"/>
            <w:right w:val="none" w:sz="0" w:space="0" w:color="auto"/>
          </w:divBdr>
          <w:divsChild>
            <w:div w:id="1930842732">
              <w:marLeft w:val="0"/>
              <w:marRight w:val="0"/>
              <w:marTop w:val="0"/>
              <w:marBottom w:val="0"/>
              <w:divBdr>
                <w:top w:val="none" w:sz="0" w:space="0" w:color="auto"/>
                <w:left w:val="none" w:sz="0" w:space="0" w:color="auto"/>
                <w:bottom w:val="none" w:sz="0" w:space="0" w:color="auto"/>
                <w:right w:val="none" w:sz="0" w:space="0" w:color="auto"/>
              </w:divBdr>
              <w:divsChild>
                <w:div w:id="837231628">
                  <w:marLeft w:val="0"/>
                  <w:marRight w:val="0"/>
                  <w:marTop w:val="150"/>
                  <w:marBottom w:val="0"/>
                  <w:divBdr>
                    <w:top w:val="none" w:sz="0" w:space="0" w:color="auto"/>
                    <w:left w:val="none" w:sz="0" w:space="0" w:color="auto"/>
                    <w:bottom w:val="none" w:sz="0" w:space="0" w:color="auto"/>
                    <w:right w:val="none" w:sz="0" w:space="0" w:color="auto"/>
                  </w:divBdr>
                  <w:divsChild>
                    <w:div w:id="48621510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997</Characters>
  <Application>Microsoft Office Word</Application>
  <DocSecurity>0</DocSecurity>
  <Lines>8</Lines>
  <Paragraphs>2</Paragraphs>
  <ScaleCrop>false</ScaleCrop>
  <Company>微软中国</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Jianxia Gong</cp:lastModifiedBy>
  <cp:revision>2</cp:revision>
  <cp:lastPrinted>2015-08-29T01:11:00Z</cp:lastPrinted>
  <dcterms:created xsi:type="dcterms:W3CDTF">2015-08-29T01:11:00Z</dcterms:created>
  <dcterms:modified xsi:type="dcterms:W3CDTF">2015-08-29T01:11:00Z</dcterms:modified>
</cp:coreProperties>
</file>